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53EC7">
      <w:pPr>
        <w:spacing w:after="0"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重庆新闻奖参评作品推荐表</w:t>
      </w:r>
    </w:p>
    <w:p w14:paraId="48D84F0D">
      <w:pPr>
        <w:spacing w:after="0" w:line="600" w:lineRule="exact"/>
        <w:jc w:val="center"/>
        <w:rPr>
          <w:rFonts w:hint="eastAsia" w:ascii="方正小标宋_GBK" w:hAnsi="方正小标宋_GBK" w:eastAsia="方正小标宋_GBK" w:cs="方正小标宋_GBK"/>
          <w:sz w:val="44"/>
          <w:szCs w:val="44"/>
        </w:rPr>
      </w:pPr>
    </w:p>
    <w:tbl>
      <w:tblPr>
        <w:tblStyle w:val="4"/>
        <w:tblW w:w="1034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577"/>
        <w:gridCol w:w="26"/>
        <w:gridCol w:w="661"/>
        <w:gridCol w:w="123"/>
        <w:gridCol w:w="115"/>
        <w:gridCol w:w="1150"/>
        <w:gridCol w:w="207"/>
        <w:gridCol w:w="1284"/>
        <w:gridCol w:w="91"/>
        <w:gridCol w:w="914"/>
        <w:gridCol w:w="280"/>
        <w:gridCol w:w="2102"/>
      </w:tblGrid>
      <w:tr w14:paraId="326F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exact"/>
        </w:trPr>
        <w:tc>
          <w:tcPr>
            <w:tcW w:w="1818" w:type="dxa"/>
            <w:vAlign w:val="center"/>
          </w:tcPr>
          <w:p w14:paraId="4BF3C3E7">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作品标题</w:t>
            </w:r>
          </w:p>
        </w:tc>
        <w:tc>
          <w:tcPr>
            <w:tcW w:w="3652" w:type="dxa"/>
            <w:gridSpan w:val="6"/>
            <w:vAlign w:val="center"/>
          </w:tcPr>
          <w:p w14:paraId="7EA07B3D">
            <w:pPr>
              <w:spacing w:after="0" w:line="260" w:lineRule="exact"/>
              <w:rPr>
                <w:rFonts w:hint="eastAsia" w:ascii="Times New Roman" w:hAnsi="Times New Roman" w:eastAsia="华文中宋"/>
                <w:sz w:val="28"/>
                <w:lang w:eastAsia="zh-CN"/>
              </w:rPr>
            </w:pPr>
            <w:r>
              <w:rPr>
                <w:rFonts w:hint="eastAsia" w:ascii="方正仿宋_GBK" w:hAnsi="方正仿宋_GBK" w:eastAsia="方正仿宋_GBK" w:cs="方正仿宋_GBK"/>
                <w:sz w:val="24"/>
                <w:szCs w:val="24"/>
                <w:lang w:val="en-US" w:eastAsia="zh-CN"/>
              </w:rPr>
              <w:t>《从 “舌尖” 到 “心间”：一块青花椒月饼的文化创新》</w:t>
            </w:r>
          </w:p>
        </w:tc>
        <w:tc>
          <w:tcPr>
            <w:tcW w:w="1582" w:type="dxa"/>
            <w:gridSpan w:val="3"/>
            <w:vAlign w:val="center"/>
          </w:tcPr>
          <w:p w14:paraId="35A6D7C3">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参评项目</w:t>
            </w:r>
          </w:p>
        </w:tc>
        <w:tc>
          <w:tcPr>
            <w:tcW w:w="3296" w:type="dxa"/>
            <w:gridSpan w:val="3"/>
            <w:vAlign w:val="center"/>
          </w:tcPr>
          <w:p w14:paraId="2B2C0B1A">
            <w:pPr>
              <w:spacing w:after="0" w:line="260" w:lineRule="exact"/>
              <w:jc w:val="center"/>
              <w:rPr>
                <w:rFonts w:hint="default" w:ascii="Times New Roman" w:hAnsi="Times New Roman" w:eastAsia="宋体"/>
                <w:sz w:val="24"/>
                <w:szCs w:val="24"/>
                <w:lang w:val="en-US" w:eastAsia="zh-CN"/>
              </w:rPr>
            </w:pPr>
            <w:r>
              <w:rPr>
                <w:rFonts w:hint="eastAsia" w:ascii="方正仿宋_GBK" w:hAnsi="方正仿宋_GBK" w:eastAsia="方正仿宋_GBK" w:cs="方正仿宋_GBK"/>
                <w:sz w:val="24"/>
                <w:szCs w:val="24"/>
                <w:lang w:val="en-US" w:eastAsia="zh-CN"/>
              </w:rPr>
              <w:t>新闻访谈</w:t>
            </w:r>
          </w:p>
        </w:tc>
      </w:tr>
      <w:tr w14:paraId="3AB9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exact"/>
        </w:trPr>
        <w:tc>
          <w:tcPr>
            <w:tcW w:w="1818" w:type="dxa"/>
            <w:vMerge w:val="restart"/>
            <w:vAlign w:val="center"/>
          </w:tcPr>
          <w:p w14:paraId="060F2094">
            <w:pPr>
              <w:spacing w:after="0" w:line="380" w:lineRule="exact"/>
              <w:jc w:val="center"/>
              <w:rPr>
                <w:rFonts w:ascii="Times New Roman" w:hAnsi="Times New Roman" w:eastAsia="方正黑体_GBK" w:cs="方正黑体_GBK"/>
                <w:sz w:val="28"/>
              </w:rPr>
            </w:pPr>
            <w:r>
              <w:rPr>
                <w:rFonts w:ascii="Times New Roman" w:hAnsi="Times New Roman" w:eastAsia="方正黑体_GBK" w:cs="方正黑体_GBK"/>
                <w:sz w:val="28"/>
              </w:rPr>
              <w:t>字数</w:t>
            </w:r>
            <w:r>
              <w:rPr>
                <w:rFonts w:hint="eastAsia" w:ascii="Times New Roman" w:hAnsi="Times New Roman" w:eastAsia="方正黑体_GBK" w:cs="方正黑体_GBK"/>
                <w:sz w:val="28"/>
              </w:rPr>
              <w:t>/时长</w:t>
            </w:r>
          </w:p>
        </w:tc>
        <w:tc>
          <w:tcPr>
            <w:tcW w:w="3652" w:type="dxa"/>
            <w:gridSpan w:val="6"/>
            <w:vMerge w:val="restart"/>
            <w:vAlign w:val="center"/>
          </w:tcPr>
          <w:p w14:paraId="220E777C">
            <w:pPr>
              <w:spacing w:after="0" w:line="260" w:lineRule="exact"/>
              <w:jc w:val="center"/>
              <w:rPr>
                <w:rFonts w:hint="default" w:ascii="Times New Roman" w:hAnsi="Times New Roman" w:eastAsia="华文中宋"/>
                <w:sz w:val="28"/>
                <w:lang w:val="en-US" w:eastAsia="zh-CN"/>
              </w:rPr>
            </w:pPr>
            <w:r>
              <w:rPr>
                <w:rFonts w:hint="eastAsia" w:ascii="方正仿宋_GBK" w:hAnsi="方正仿宋_GBK" w:eastAsia="方正仿宋_GBK" w:cs="方正仿宋_GBK"/>
                <w:sz w:val="24"/>
                <w:szCs w:val="24"/>
                <w:lang w:val="en-US" w:eastAsia="zh-CN"/>
              </w:rPr>
              <w:t>11分34秒</w:t>
            </w:r>
          </w:p>
        </w:tc>
        <w:tc>
          <w:tcPr>
            <w:tcW w:w="1582" w:type="dxa"/>
            <w:gridSpan w:val="3"/>
            <w:vAlign w:val="center"/>
          </w:tcPr>
          <w:p w14:paraId="32A17DE4">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体裁</w:t>
            </w:r>
          </w:p>
        </w:tc>
        <w:tc>
          <w:tcPr>
            <w:tcW w:w="3296" w:type="dxa"/>
            <w:gridSpan w:val="3"/>
            <w:vAlign w:val="center"/>
          </w:tcPr>
          <w:p w14:paraId="7FD1729A">
            <w:pPr>
              <w:spacing w:after="0" w:line="260" w:lineRule="exact"/>
              <w:jc w:val="center"/>
              <w:rPr>
                <w:rFonts w:hint="default" w:ascii="Times New Roman" w:hAnsi="Times New Roman" w:eastAsia="方正仿宋_GBK"/>
                <w:sz w:val="24"/>
                <w:szCs w:val="24"/>
                <w:lang w:val="en-US" w:eastAsia="zh-CN"/>
              </w:rPr>
            </w:pPr>
            <w:r>
              <w:rPr>
                <w:rFonts w:hint="eastAsia" w:ascii="方正仿宋_GBK" w:hAnsi="方正仿宋_GBK" w:eastAsia="方正仿宋_GBK" w:cs="方正仿宋_GBK"/>
                <w:sz w:val="24"/>
                <w:szCs w:val="24"/>
                <w:lang w:val="en-US" w:eastAsia="zh-CN"/>
              </w:rPr>
              <w:t>新闻访谈</w:t>
            </w:r>
          </w:p>
        </w:tc>
      </w:tr>
      <w:tr w14:paraId="77D5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exact"/>
        </w:trPr>
        <w:tc>
          <w:tcPr>
            <w:tcW w:w="1818" w:type="dxa"/>
            <w:vMerge w:val="continue"/>
            <w:vAlign w:val="center"/>
          </w:tcPr>
          <w:p w14:paraId="5F09130B">
            <w:pPr>
              <w:spacing w:after="0" w:line="380" w:lineRule="exact"/>
              <w:jc w:val="center"/>
              <w:rPr>
                <w:rFonts w:ascii="Times New Roman" w:hAnsi="Times New Roman" w:eastAsia="方正黑体_GBK" w:cs="方正黑体_GBK"/>
                <w:sz w:val="28"/>
              </w:rPr>
            </w:pPr>
          </w:p>
        </w:tc>
        <w:tc>
          <w:tcPr>
            <w:tcW w:w="3652" w:type="dxa"/>
            <w:gridSpan w:val="6"/>
            <w:vMerge w:val="continue"/>
            <w:vAlign w:val="center"/>
          </w:tcPr>
          <w:p w14:paraId="6976487E">
            <w:pPr>
              <w:spacing w:after="0" w:line="320" w:lineRule="exact"/>
              <w:rPr>
                <w:rFonts w:ascii="Times New Roman" w:hAnsi="Times New Roman" w:eastAsia="方正仿宋_GBK" w:cs="仿宋"/>
                <w:sz w:val="24"/>
                <w:szCs w:val="18"/>
              </w:rPr>
            </w:pPr>
          </w:p>
        </w:tc>
        <w:tc>
          <w:tcPr>
            <w:tcW w:w="1582" w:type="dxa"/>
            <w:gridSpan w:val="3"/>
            <w:vAlign w:val="center"/>
          </w:tcPr>
          <w:p w14:paraId="296C7688">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语种</w:t>
            </w:r>
          </w:p>
        </w:tc>
        <w:tc>
          <w:tcPr>
            <w:tcW w:w="3296" w:type="dxa"/>
            <w:gridSpan w:val="3"/>
            <w:vAlign w:val="center"/>
          </w:tcPr>
          <w:p w14:paraId="16C44B7D">
            <w:pPr>
              <w:spacing w:after="0" w:line="260" w:lineRule="exact"/>
              <w:jc w:val="center"/>
              <w:rPr>
                <w:rFonts w:hint="default" w:ascii="Times New Roman" w:hAnsi="Times New Roman" w:eastAsia="宋体"/>
                <w:sz w:val="28"/>
                <w:lang w:val="en-US" w:eastAsia="zh-CN"/>
              </w:rPr>
            </w:pPr>
            <w:r>
              <w:rPr>
                <w:rFonts w:hint="eastAsia" w:ascii="方正仿宋_GBK" w:hAnsi="方正仿宋_GBK" w:eastAsia="方正仿宋_GBK" w:cs="方正仿宋_GBK"/>
                <w:sz w:val="24"/>
                <w:szCs w:val="24"/>
                <w:lang w:val="en-US" w:eastAsia="zh-CN"/>
              </w:rPr>
              <w:t>中文</w:t>
            </w:r>
          </w:p>
        </w:tc>
      </w:tr>
      <w:tr w14:paraId="707DA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818" w:type="dxa"/>
            <w:vAlign w:val="center"/>
          </w:tcPr>
          <w:p w14:paraId="6F980C05">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  者</w:t>
            </w:r>
          </w:p>
          <w:p w14:paraId="66C872F0">
            <w:pPr>
              <w:spacing w:after="0" w:line="380" w:lineRule="exact"/>
              <w:rPr>
                <w:rFonts w:ascii="Times New Roman" w:hAnsi="Times New Roman" w:eastAsia="方正黑体_GBK" w:cs="方正黑体_GBK"/>
                <w:sz w:val="28"/>
              </w:rPr>
            </w:pPr>
            <w:r>
              <w:rPr>
                <w:rFonts w:hint="eastAsia" w:ascii="Times New Roman" w:hAnsi="Times New Roman" w:eastAsia="方正黑体_GBK" w:cs="方正黑体_GBK"/>
                <w:sz w:val="28"/>
              </w:rPr>
              <w:t>（主创人员）</w:t>
            </w:r>
          </w:p>
        </w:tc>
        <w:tc>
          <w:tcPr>
            <w:tcW w:w="2502" w:type="dxa"/>
            <w:gridSpan w:val="5"/>
            <w:vAlign w:val="center"/>
          </w:tcPr>
          <w:p w14:paraId="1F8487AC">
            <w:pPr>
              <w:spacing w:after="0" w:line="260" w:lineRule="exact"/>
              <w:rPr>
                <w:rFonts w:hint="eastAsia" w:ascii="Times New Roman" w:hAnsi="Times New Roman" w:eastAsia="方正仿宋_GBK" w:cs="仿宋"/>
                <w:sz w:val="18"/>
                <w:szCs w:val="18"/>
                <w:lang w:val="en-US" w:eastAsia="zh-CN"/>
              </w:rPr>
            </w:pPr>
            <w:r>
              <w:rPr>
                <w:rFonts w:hint="eastAsia" w:ascii="Times New Roman" w:hAnsi="Times New Roman" w:eastAsia="方正仿宋_GBK" w:cs="仿宋"/>
                <w:sz w:val="18"/>
                <w:szCs w:val="18"/>
                <w:lang w:val="en-US" w:eastAsia="zh-CN"/>
              </w:rPr>
              <w:t xml:space="preserve">易志慧 田思进 周浩然   </w:t>
            </w:r>
          </w:p>
          <w:p w14:paraId="7A5CECE2">
            <w:pPr>
              <w:spacing w:after="0" w:line="260" w:lineRule="exact"/>
              <w:rPr>
                <w:rFonts w:hint="default" w:ascii="Times New Roman" w:hAnsi="Times New Roman" w:eastAsia="方正仿宋_GBK"/>
                <w:sz w:val="28"/>
                <w:lang w:val="en-US" w:eastAsia="zh-CN"/>
              </w:rPr>
            </w:pPr>
            <w:r>
              <w:rPr>
                <w:rFonts w:hint="eastAsia" w:ascii="Times New Roman" w:hAnsi="Times New Roman" w:eastAsia="方正仿宋_GBK" w:cs="仿宋"/>
                <w:sz w:val="18"/>
                <w:szCs w:val="18"/>
                <w:lang w:val="en-US" w:eastAsia="zh-CN"/>
              </w:rPr>
              <w:t xml:space="preserve">夏婷婷 黄娅秋 陈朝政 李航 </w:t>
            </w:r>
          </w:p>
        </w:tc>
        <w:tc>
          <w:tcPr>
            <w:tcW w:w="1150" w:type="dxa"/>
            <w:vAlign w:val="center"/>
          </w:tcPr>
          <w:p w14:paraId="645ED7A7">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编辑</w:t>
            </w:r>
          </w:p>
        </w:tc>
        <w:tc>
          <w:tcPr>
            <w:tcW w:w="4878" w:type="dxa"/>
            <w:gridSpan w:val="6"/>
            <w:vAlign w:val="center"/>
          </w:tcPr>
          <w:p w14:paraId="0E877CF1">
            <w:pPr>
              <w:spacing w:after="0" w:line="240" w:lineRule="exact"/>
              <w:jc w:val="center"/>
              <w:rPr>
                <w:rFonts w:hint="default" w:ascii="Times New Roman" w:hAnsi="Times New Roman" w:eastAsia="方正仿宋_GBK"/>
                <w:w w:val="95"/>
                <w:szCs w:val="21"/>
                <w:lang w:val="en-US" w:eastAsia="zh-CN"/>
              </w:rPr>
            </w:pPr>
            <w:r>
              <w:rPr>
                <w:rFonts w:hint="eastAsia" w:ascii="Times New Roman" w:hAnsi="Times New Roman" w:eastAsia="方正仿宋_GBK" w:cs="仿宋"/>
                <w:sz w:val="24"/>
                <w:szCs w:val="18"/>
                <w:lang w:val="en-US" w:eastAsia="zh-CN"/>
              </w:rPr>
              <w:t>夏婷婷</w:t>
            </w:r>
          </w:p>
        </w:tc>
      </w:tr>
      <w:tr w14:paraId="4BB9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trPr>
        <w:tc>
          <w:tcPr>
            <w:tcW w:w="1818" w:type="dxa"/>
            <w:vAlign w:val="center"/>
          </w:tcPr>
          <w:p w14:paraId="5FE55E68">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原创单位</w:t>
            </w:r>
          </w:p>
        </w:tc>
        <w:tc>
          <w:tcPr>
            <w:tcW w:w="2502" w:type="dxa"/>
            <w:gridSpan w:val="5"/>
            <w:vAlign w:val="center"/>
          </w:tcPr>
          <w:p w14:paraId="2F70FA43">
            <w:pPr>
              <w:spacing w:after="0" w:line="260" w:lineRule="exact"/>
              <w:jc w:val="center"/>
              <w:rPr>
                <w:rFonts w:hint="default" w:ascii="Times New Roman" w:hAnsi="Times New Roman" w:eastAsia="宋体"/>
                <w:szCs w:val="21"/>
                <w:lang w:val="en-US" w:eastAsia="zh-CN"/>
              </w:rPr>
            </w:pPr>
            <w:r>
              <w:rPr>
                <w:rFonts w:hint="eastAsia" w:ascii="方正仿宋_GBK" w:hAnsi="方正仿宋_GBK" w:eastAsia="方正仿宋_GBK" w:cs="方正仿宋_GBK"/>
                <w:sz w:val="24"/>
                <w:szCs w:val="24"/>
                <w:lang w:val="en-US" w:eastAsia="zh-CN"/>
              </w:rPr>
              <w:t>江津区融媒体中心</w:t>
            </w:r>
          </w:p>
        </w:tc>
        <w:tc>
          <w:tcPr>
            <w:tcW w:w="1150" w:type="dxa"/>
            <w:vAlign w:val="center"/>
          </w:tcPr>
          <w:p w14:paraId="34557313">
            <w:pPr>
              <w:spacing w:after="0" w:line="380" w:lineRule="exact"/>
              <w:jc w:val="center"/>
              <w:rPr>
                <w:rFonts w:ascii="Times New Roman" w:hAnsi="Times New Roman" w:eastAsia="方正黑体_GBK" w:cs="方正黑体_GBK"/>
                <w:sz w:val="24"/>
              </w:rPr>
            </w:pPr>
            <w:r>
              <w:rPr>
                <w:rFonts w:hint="eastAsia" w:ascii="Times New Roman" w:hAnsi="Times New Roman" w:eastAsia="方正黑体_GBK" w:cs="方正黑体_GBK"/>
                <w:sz w:val="24"/>
              </w:rPr>
              <w:t>发布端/账号/媒体名称</w:t>
            </w:r>
          </w:p>
        </w:tc>
        <w:tc>
          <w:tcPr>
            <w:tcW w:w="4878" w:type="dxa"/>
            <w:gridSpan w:val="6"/>
            <w:vAlign w:val="center"/>
          </w:tcPr>
          <w:p w14:paraId="4707C249">
            <w:pPr>
              <w:spacing w:after="0" w:line="240" w:lineRule="exact"/>
              <w:jc w:val="center"/>
              <w:rPr>
                <w:rFonts w:hint="default" w:ascii="Times New Roman" w:hAnsi="Times New Roman" w:eastAsia="宋体"/>
                <w:sz w:val="18"/>
                <w:szCs w:val="18"/>
                <w:lang w:val="en-US" w:eastAsia="zh-CN"/>
              </w:rPr>
            </w:pPr>
            <w:r>
              <w:rPr>
                <w:rFonts w:hint="eastAsia" w:ascii="Times New Roman" w:hAnsi="Times New Roman" w:eastAsia="方正仿宋_GBK" w:cs="仿宋"/>
                <w:sz w:val="24"/>
                <w:szCs w:val="18"/>
                <w:lang w:val="en-US" w:eastAsia="zh-CN"/>
              </w:rPr>
              <w:t>江津融媒视频号、最江津APP</w:t>
            </w:r>
          </w:p>
        </w:tc>
      </w:tr>
      <w:tr w14:paraId="57D0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exact"/>
        </w:trPr>
        <w:tc>
          <w:tcPr>
            <w:tcW w:w="1818" w:type="dxa"/>
            <w:vAlign w:val="center"/>
          </w:tcPr>
          <w:p w14:paraId="129D565F">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刊播版面</w:t>
            </w:r>
          </w:p>
          <w:p w14:paraId="6B91CB9C">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(名称和版次)</w:t>
            </w:r>
          </w:p>
        </w:tc>
        <w:tc>
          <w:tcPr>
            <w:tcW w:w="2502" w:type="dxa"/>
            <w:gridSpan w:val="5"/>
            <w:vAlign w:val="center"/>
          </w:tcPr>
          <w:p w14:paraId="2F63F561">
            <w:pPr>
              <w:spacing w:after="0" w:line="260" w:lineRule="exact"/>
              <w:rPr>
                <w:rFonts w:ascii="Times New Roman" w:hAnsi="Times New Roman"/>
                <w:szCs w:val="21"/>
              </w:rPr>
            </w:pPr>
          </w:p>
        </w:tc>
        <w:tc>
          <w:tcPr>
            <w:tcW w:w="1150" w:type="dxa"/>
            <w:vAlign w:val="center"/>
          </w:tcPr>
          <w:p w14:paraId="78387932">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刊播日期</w:t>
            </w:r>
          </w:p>
        </w:tc>
        <w:tc>
          <w:tcPr>
            <w:tcW w:w="4878" w:type="dxa"/>
            <w:gridSpan w:val="6"/>
            <w:vAlign w:val="center"/>
          </w:tcPr>
          <w:p w14:paraId="74416C31">
            <w:pPr>
              <w:spacing w:after="0" w:line="240" w:lineRule="exact"/>
              <w:jc w:val="center"/>
              <w:rPr>
                <w:rFonts w:hint="default" w:ascii="Times New Roman" w:hAnsi="Times New Roman" w:eastAsia="方正仿宋_GBK" w:cs="Times New Roman"/>
                <w:szCs w:val="21"/>
                <w:lang w:val="en-US" w:eastAsia="zh-CN"/>
              </w:rPr>
            </w:pPr>
            <w:r>
              <w:rPr>
                <w:rFonts w:hint="eastAsia" w:ascii="Times New Roman" w:hAnsi="Times New Roman" w:eastAsia="方正仿宋_GBK" w:cs="仿宋"/>
                <w:sz w:val="24"/>
                <w:szCs w:val="18"/>
                <w:lang w:val="en-US" w:eastAsia="zh-CN"/>
              </w:rPr>
              <w:t>2025年10月13日</w:t>
            </w:r>
          </w:p>
        </w:tc>
      </w:tr>
      <w:tr w14:paraId="6216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818" w:type="dxa"/>
            <w:vMerge w:val="restart"/>
            <w:vAlign w:val="center"/>
          </w:tcPr>
          <w:p w14:paraId="1E64D316">
            <w:pPr>
              <w:spacing w:after="0" w:line="340" w:lineRule="exact"/>
              <w:rPr>
                <w:rFonts w:ascii="Times New Roman" w:hAnsi="Times New Roman"/>
                <w:szCs w:val="21"/>
              </w:rPr>
            </w:pPr>
            <w:r>
              <w:rPr>
                <w:rFonts w:hint="eastAsia" w:ascii="Times New Roman" w:hAnsi="Times New Roman" w:eastAsia="方正黑体_GBK" w:cs="方正黑体_GBK"/>
                <w:sz w:val="24"/>
                <w:szCs w:val="21"/>
              </w:rPr>
              <w:t>新媒体作品填报网址</w:t>
            </w:r>
          </w:p>
        </w:tc>
        <w:tc>
          <w:tcPr>
            <w:tcW w:w="3652" w:type="dxa"/>
            <w:gridSpan w:val="6"/>
            <w:vMerge w:val="restart"/>
            <w:vAlign w:val="center"/>
          </w:tcPr>
          <w:p w14:paraId="191B3D4C">
            <w:pPr>
              <w:rPr>
                <w:rFonts w:hint="eastAsia"/>
              </w:rPr>
            </w:pPr>
            <w:r>
              <w:rPr>
                <w:rFonts w:hint="eastAsia"/>
              </w:rPr>
              <w:fldChar w:fldCharType="begin"/>
            </w:r>
            <w:r>
              <w:rPr>
                <w:rFonts w:hint="eastAsia"/>
              </w:rPr>
              <w:instrText xml:space="preserve"> HYPERLINK "https://share.cqliving.com/news-detail-pages/?t=20260311&amp;f=20#/video/video-page?appId=25&amp;cid=5000582964&amp;sp=source_share" </w:instrText>
            </w:r>
            <w:r>
              <w:rPr>
                <w:rFonts w:hint="eastAsia"/>
              </w:rPr>
              <w:fldChar w:fldCharType="separate"/>
            </w:r>
            <w:r>
              <w:rPr>
                <w:rStyle w:val="7"/>
                <w:rFonts w:hint="eastAsia"/>
              </w:rPr>
              <w:t>https://share.cqliving.com/news-detail-pages/?t=20260311&amp;f=20#/video/video-page?appId=25&amp;cid=5000582964&amp;sp=source_share</w:t>
            </w:r>
            <w:r>
              <w:rPr>
                <w:rFonts w:hint="eastAsia"/>
              </w:rPr>
              <w:fldChar w:fldCharType="end"/>
            </w:r>
          </w:p>
          <w:p w14:paraId="20D67027">
            <w:pPr>
              <w:rPr>
                <w:rFonts w:hint="eastAsia"/>
              </w:rPr>
            </w:pPr>
          </w:p>
          <w:p w14:paraId="7BA42A80">
            <w:pPr>
              <w:pStyle w:val="3"/>
            </w:pPr>
          </w:p>
        </w:tc>
        <w:tc>
          <w:tcPr>
            <w:tcW w:w="4878" w:type="dxa"/>
            <w:gridSpan w:val="6"/>
            <w:vAlign w:val="center"/>
          </w:tcPr>
          <w:p w14:paraId="00928F5E">
            <w:pPr>
              <w:bidi w:val="0"/>
              <w:jc w:val="both"/>
              <w:rPr>
                <w:rFonts w:hint="eastAsia" w:ascii="方正黑体_GBK" w:hAnsi="Times New Roman" w:eastAsia="方正黑体_GBK"/>
                <w:sz w:val="24"/>
                <w:szCs w:val="21"/>
              </w:rPr>
            </w:pPr>
          </w:p>
          <w:p w14:paraId="662299C7">
            <w:pPr>
              <w:bidi w:val="0"/>
              <w:jc w:val="both"/>
              <w:rPr>
                <w:rFonts w:hint="eastAsia" w:ascii="方正黑体_GBK" w:hAnsi="Times New Roman" w:eastAsia="方正黑体_GBK"/>
                <w:sz w:val="24"/>
                <w:szCs w:val="21"/>
                <w:lang w:eastAsia="zh-CN"/>
              </w:rPr>
            </w:pPr>
            <w:r>
              <w:rPr>
                <w:rFonts w:hint="eastAsia" w:ascii="方正黑体_GBK" w:hAnsi="Times New Roman" w:eastAsia="方正黑体_GBK"/>
                <w:sz w:val="24"/>
                <w:szCs w:val="21"/>
              </w:rPr>
              <w:t>中央宣传部“三好作品”  是□ 否</w:t>
            </w:r>
            <w:r>
              <w:rPr>
                <w:rFonts w:hint="eastAsia" w:ascii="方正黑体_GBK" w:hAnsi="Times New Roman" w:eastAsia="方正黑体_GBK"/>
                <w:sz w:val="24"/>
                <w:szCs w:val="21"/>
                <w:lang w:eastAsia="zh-CN"/>
              </w:rPr>
              <w:t>□</w:t>
            </w:r>
          </w:p>
          <w:p w14:paraId="767667FE">
            <w:pPr>
              <w:bidi w:val="0"/>
              <w:jc w:val="left"/>
              <w:rPr>
                <w:rFonts w:hint="eastAsia"/>
                <w:lang w:val="en-US" w:eastAsia="zh-CN"/>
              </w:rPr>
            </w:pPr>
          </w:p>
          <w:p w14:paraId="403CF2B9">
            <w:pPr>
              <w:bidi w:val="0"/>
              <w:jc w:val="left"/>
              <w:rPr>
                <w:rFonts w:hint="eastAsia"/>
                <w:lang w:val="en-US" w:eastAsia="zh-CN"/>
              </w:rPr>
            </w:pPr>
          </w:p>
        </w:tc>
      </w:tr>
      <w:tr w14:paraId="09DC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9" w:hRule="exact"/>
        </w:trPr>
        <w:tc>
          <w:tcPr>
            <w:tcW w:w="1818" w:type="dxa"/>
            <w:vMerge w:val="continue"/>
            <w:vAlign w:val="center"/>
          </w:tcPr>
          <w:p w14:paraId="1408A1B4">
            <w:pPr>
              <w:spacing w:after="0" w:line="340" w:lineRule="exact"/>
              <w:rPr>
                <w:rFonts w:ascii="Times New Roman" w:hAnsi="Times New Roman" w:eastAsia="方正黑体_GBK" w:cs="方正黑体_GBK"/>
                <w:sz w:val="24"/>
                <w:szCs w:val="21"/>
              </w:rPr>
            </w:pPr>
          </w:p>
        </w:tc>
        <w:tc>
          <w:tcPr>
            <w:tcW w:w="3652" w:type="dxa"/>
            <w:gridSpan w:val="6"/>
            <w:vMerge w:val="continue"/>
            <w:vAlign w:val="center"/>
          </w:tcPr>
          <w:p w14:paraId="475DF3E2">
            <w:pPr>
              <w:spacing w:after="0" w:line="260" w:lineRule="exact"/>
              <w:rPr>
                <w:rFonts w:ascii="Times New Roman" w:hAnsi="Times New Roman" w:eastAsia="方正仿宋_GBK" w:cs="仿宋"/>
                <w:sz w:val="24"/>
                <w:szCs w:val="18"/>
              </w:rPr>
            </w:pPr>
          </w:p>
        </w:tc>
        <w:tc>
          <w:tcPr>
            <w:tcW w:w="4878" w:type="dxa"/>
            <w:gridSpan w:val="6"/>
            <w:vAlign w:val="center"/>
          </w:tcPr>
          <w:p w14:paraId="290C1DF2">
            <w:pPr>
              <w:bidi w:val="0"/>
              <w:jc w:val="left"/>
              <w:rPr>
                <w:rFonts w:hint="eastAsia"/>
                <w:lang w:val="en-US" w:eastAsia="zh-CN"/>
              </w:rPr>
            </w:pPr>
            <w:r>
              <w:rPr>
                <w:rFonts w:hint="eastAsia" w:ascii="方正黑体_GBK" w:hAnsi="Times New Roman" w:eastAsia="方正黑体_GBK"/>
                <w:sz w:val="24"/>
                <w:szCs w:val="21"/>
              </w:rPr>
              <w:t xml:space="preserve">市委宣传部“三好作品” </w:t>
            </w:r>
            <w:r>
              <w:rPr>
                <w:rFonts w:hint="eastAsia" w:ascii="Times New Roman" w:hAnsi="Times New Roman" w:eastAsia="华文中宋"/>
                <w:sz w:val="24"/>
                <w:szCs w:val="21"/>
              </w:rPr>
              <w:t xml:space="preserve"> </w:t>
            </w:r>
            <w:r>
              <w:rPr>
                <w:rFonts w:hint="eastAsia" w:ascii="Times New Roman" w:hAnsi="Times New Roman" w:eastAsia="华文中宋"/>
                <w:sz w:val="24"/>
                <w:szCs w:val="24"/>
              </w:rPr>
              <w:t>是</w:t>
            </w:r>
            <w:r>
              <w:rPr>
                <w:rFonts w:hint="eastAsia" w:ascii="华文中宋" w:hAnsi="华文中宋" w:eastAsia="华文中宋"/>
                <w:sz w:val="24"/>
                <w:szCs w:val="24"/>
                <w:lang w:eastAsia="zh-CN"/>
              </w:rPr>
              <w:t>□</w:t>
            </w:r>
            <w:r>
              <w:rPr>
                <w:rFonts w:hint="eastAsia" w:ascii="华文中宋" w:hAnsi="华文中宋" w:eastAsia="华文中宋"/>
                <w:sz w:val="24"/>
                <w:szCs w:val="24"/>
              </w:rPr>
              <w:t xml:space="preserve"> 否□</w:t>
            </w:r>
          </w:p>
          <w:p w14:paraId="276A90F9">
            <w:pPr>
              <w:spacing w:after="0" w:line="260" w:lineRule="exact"/>
              <w:rPr>
                <w:rFonts w:ascii="Times New Roman" w:hAnsi="Times New Roman" w:eastAsia="华文中宋"/>
                <w:sz w:val="28"/>
              </w:rPr>
            </w:pPr>
          </w:p>
        </w:tc>
      </w:tr>
      <w:tr w14:paraId="5B1A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0" w:hRule="atLeast"/>
        </w:trPr>
        <w:tc>
          <w:tcPr>
            <w:tcW w:w="1818" w:type="dxa"/>
            <w:vAlign w:val="center"/>
          </w:tcPr>
          <w:p w14:paraId="138FB9A6">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作品简介</w:t>
            </w:r>
          </w:p>
        </w:tc>
        <w:tc>
          <w:tcPr>
            <w:tcW w:w="8530" w:type="dxa"/>
            <w:gridSpan w:val="12"/>
            <w:vAlign w:val="center"/>
          </w:tcPr>
          <w:p w14:paraId="185C71BE">
            <w:pPr>
              <w:spacing w:after="0" w:line="340" w:lineRule="exact"/>
              <w:ind w:firstLine="480" w:firstLineChars="200"/>
              <w:rPr>
                <w:rFonts w:ascii="Times New Roman" w:hAnsi="Times New Roman" w:eastAsia="方正仿宋_GBK"/>
                <w:sz w:val="24"/>
                <w:szCs w:val="28"/>
              </w:rPr>
            </w:pPr>
            <w:r>
              <w:rPr>
                <w:rFonts w:hint="eastAsia" w:ascii="Times New Roman" w:hAnsi="Times New Roman" w:eastAsia="方正仿宋_GBK"/>
                <w:sz w:val="24"/>
                <w:szCs w:val="28"/>
              </w:rPr>
              <w:t>在创意纷呈的月饼市场中，一款“椒香黑巧”月饼以其大胆的风味跨界脱颖而出。本作品深入探访了这款荣获“2025重庆外事文创好礼”铜奖产品的诞生历程，讲述地方特产“江津九叶青花椒”如何与法国顶级巧克力邂逅，完成从调味料到月饼灵魂的华丽转身。</w:t>
            </w:r>
          </w:p>
        </w:tc>
      </w:tr>
      <w:tr w14:paraId="12A1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1" w:hRule="exact"/>
        </w:trPr>
        <w:tc>
          <w:tcPr>
            <w:tcW w:w="1818" w:type="dxa"/>
            <w:vAlign w:val="center"/>
          </w:tcPr>
          <w:p w14:paraId="424204F0">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社会效果</w:t>
            </w:r>
          </w:p>
        </w:tc>
        <w:tc>
          <w:tcPr>
            <w:tcW w:w="8530" w:type="dxa"/>
            <w:gridSpan w:val="12"/>
            <w:vAlign w:val="center"/>
          </w:tcPr>
          <w:p w14:paraId="23039A6C">
            <w:pPr>
              <w:spacing w:after="0" w:line="340" w:lineRule="exact"/>
              <w:ind w:firstLine="480" w:firstLineChars="200"/>
              <w:rPr>
                <w:rFonts w:ascii="Times New Roman" w:hAnsi="Times New Roman" w:eastAsia="方正仿宋_GBK"/>
                <w:sz w:val="24"/>
                <w:szCs w:val="28"/>
              </w:rPr>
            </w:pPr>
            <w:r>
              <w:rPr>
                <w:rFonts w:hint="eastAsia" w:ascii="Times New Roman" w:hAnsi="Times New Roman" w:eastAsia="方正仿宋_GBK"/>
                <w:sz w:val="24"/>
                <w:szCs w:val="28"/>
              </w:rPr>
              <w:t>该作品通过讲述一颗青花椒的创意“出圈”故事，产生了显著的社会效果。它成功将传统地方特产“江津九叶青花椒”提升至文化创意消费的新高度，为农产品深加工与品牌增值提供了生动范例，直接赋能乡村产业振兴。同时，作品以“本土风物+全球视野”的创新路径，重塑了公众对地域文化的认知，激发了大众尤其是年轻群体对传统文化进行创造性转化的自信与热情。作为“重庆外事好礼”，它更成为一张美味的名片，增强了本地人的文化自豪感，并向外界展示了重庆包容、创新的城市形象。最终，这个故事弘扬了基于深度理解的匠心精神与务实创业观，为社会创新生态注入了积极正能量。</w:t>
            </w:r>
          </w:p>
        </w:tc>
      </w:tr>
      <w:tr w14:paraId="1A07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1818" w:type="dxa"/>
            <w:vMerge w:val="restart"/>
            <w:vAlign w:val="center"/>
          </w:tcPr>
          <w:p w14:paraId="4995D2EE">
            <w:pPr>
              <w:spacing w:after="0" w:line="32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传播数据</w:t>
            </w:r>
          </w:p>
        </w:tc>
        <w:tc>
          <w:tcPr>
            <w:tcW w:w="2264" w:type="dxa"/>
            <w:gridSpan w:val="3"/>
            <w:vMerge w:val="restart"/>
            <w:vAlign w:val="center"/>
          </w:tcPr>
          <w:p w14:paraId="64245245">
            <w:pPr>
              <w:spacing w:after="0" w:line="420" w:lineRule="exact"/>
              <w:rPr>
                <w:rFonts w:ascii="方正楷体_GBK" w:hAnsi="Times New Roman" w:eastAsia="方正楷体_GBK"/>
                <w:sz w:val="24"/>
                <w:szCs w:val="28"/>
              </w:rPr>
            </w:pPr>
            <w:r>
              <w:rPr>
                <w:rFonts w:hint="eastAsia" w:ascii="方正楷体_GBK" w:hAnsi="Times New Roman" w:eastAsia="方正楷体_GBK"/>
                <w:sz w:val="24"/>
                <w:szCs w:val="28"/>
              </w:rPr>
              <w:t>新媒体传播平台网址</w:t>
            </w:r>
          </w:p>
        </w:tc>
        <w:tc>
          <w:tcPr>
            <w:tcW w:w="6266" w:type="dxa"/>
            <w:gridSpan w:val="9"/>
            <w:tcBorders>
              <w:bottom w:val="single" w:color="auto" w:sz="4" w:space="0"/>
            </w:tcBorders>
            <w:vAlign w:val="center"/>
          </w:tcPr>
          <w:p w14:paraId="6093D5C4">
            <w:pPr>
              <w:numPr>
                <w:ilvl w:val="0"/>
                <w:numId w:val="1"/>
              </w:numPr>
              <w:spacing w:after="0" w:line="320" w:lineRule="exact"/>
              <w:rPr>
                <w:rFonts w:hint="eastAsia" w:ascii="Times New Roman" w:hAnsi="Times New Roman" w:eastAsia="方正仿宋_GBK"/>
                <w:sz w:val="22"/>
                <w:szCs w:val="24"/>
              </w:rPr>
            </w:pPr>
            <w:r>
              <w:rPr>
                <w:rFonts w:hint="eastAsia" w:ascii="Times New Roman" w:hAnsi="Times New Roman" w:eastAsia="方正仿宋_GBK"/>
                <w:sz w:val="22"/>
                <w:szCs w:val="24"/>
              </w:rPr>
              <w:fldChar w:fldCharType="begin"/>
            </w:r>
            <w:r>
              <w:rPr>
                <w:rFonts w:hint="eastAsia" w:ascii="Times New Roman" w:hAnsi="Times New Roman" w:eastAsia="方正仿宋_GBK"/>
                <w:sz w:val="22"/>
                <w:szCs w:val="24"/>
              </w:rPr>
              <w:instrText xml:space="preserve"> HYPERLINK "https://share.cqliving.com/news-detail-pages/?t=20260311&amp;f=20#/video/video-page?appId=25&amp;cid=5000582964&amp;sp=source_share" </w:instrText>
            </w:r>
            <w:r>
              <w:rPr>
                <w:rFonts w:hint="eastAsia" w:ascii="Times New Roman" w:hAnsi="Times New Roman" w:eastAsia="方正仿宋_GBK"/>
                <w:sz w:val="22"/>
                <w:szCs w:val="24"/>
              </w:rPr>
              <w:fldChar w:fldCharType="separate"/>
            </w:r>
            <w:r>
              <w:rPr>
                <w:rStyle w:val="7"/>
                <w:rFonts w:hint="eastAsia" w:ascii="Times New Roman" w:hAnsi="Times New Roman" w:eastAsia="方正仿宋_GBK"/>
                <w:sz w:val="22"/>
                <w:szCs w:val="24"/>
              </w:rPr>
              <w:t>https://share.cqliving.com/news-detail-pages/?t=20260311&amp;f=20#/video/video-page?appId=25&amp;cid=5000582964&amp;sp=source_share</w:t>
            </w:r>
            <w:r>
              <w:rPr>
                <w:rFonts w:hint="eastAsia" w:ascii="Times New Roman" w:hAnsi="Times New Roman" w:eastAsia="方正仿宋_GBK"/>
                <w:sz w:val="22"/>
                <w:szCs w:val="24"/>
              </w:rPr>
              <w:fldChar w:fldCharType="end"/>
            </w:r>
          </w:p>
          <w:p w14:paraId="003FF7AC">
            <w:pPr>
              <w:numPr>
                <w:ilvl w:val="0"/>
                <w:numId w:val="1"/>
              </w:numPr>
              <w:spacing w:after="0" w:line="320" w:lineRule="exact"/>
              <w:rPr>
                <w:rFonts w:hint="eastAsia" w:ascii="Times New Roman" w:hAnsi="Times New Roman" w:eastAsia="方正仿宋_GBK"/>
                <w:sz w:val="22"/>
                <w:szCs w:val="24"/>
              </w:rPr>
            </w:pPr>
          </w:p>
        </w:tc>
      </w:tr>
      <w:tr w14:paraId="136D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exact"/>
        </w:trPr>
        <w:tc>
          <w:tcPr>
            <w:tcW w:w="1818" w:type="dxa"/>
            <w:vMerge w:val="continue"/>
            <w:vAlign w:val="center"/>
          </w:tcPr>
          <w:p w14:paraId="05BBB550">
            <w:pPr>
              <w:pStyle w:val="3"/>
              <w:spacing w:after="0" w:line="320" w:lineRule="exact"/>
              <w:rPr>
                <w:rFonts w:ascii="方正仿宋_GBK" w:eastAsia="方正仿宋_GBK"/>
              </w:rPr>
            </w:pPr>
          </w:p>
        </w:tc>
        <w:tc>
          <w:tcPr>
            <w:tcW w:w="2264" w:type="dxa"/>
            <w:gridSpan w:val="3"/>
            <w:vMerge w:val="continue"/>
            <w:vAlign w:val="center"/>
          </w:tcPr>
          <w:p w14:paraId="16A182B5">
            <w:pPr>
              <w:spacing w:after="0" w:line="420" w:lineRule="exact"/>
              <w:rPr>
                <w:rFonts w:ascii="Times New Roman" w:hAnsi="Times New Roman" w:eastAsia="方正仿宋_GBK"/>
                <w:sz w:val="24"/>
                <w:szCs w:val="28"/>
              </w:rPr>
            </w:pPr>
          </w:p>
        </w:tc>
        <w:tc>
          <w:tcPr>
            <w:tcW w:w="6266" w:type="dxa"/>
            <w:gridSpan w:val="9"/>
            <w:tcBorders>
              <w:bottom w:val="single" w:color="auto" w:sz="4" w:space="0"/>
            </w:tcBorders>
            <w:vAlign w:val="center"/>
          </w:tcPr>
          <w:p w14:paraId="1624D56B">
            <w:pPr>
              <w:numPr>
                <w:ilvl w:val="0"/>
                <w:numId w:val="0"/>
              </w:numPr>
              <w:spacing w:after="0" w:line="420" w:lineRule="exact"/>
              <w:ind w:leftChars="0"/>
              <w:rPr>
                <w:rFonts w:hint="eastAsia" w:ascii="Times New Roman" w:hAnsi="Times New Roman" w:eastAsia="方正仿宋_GBK"/>
                <w:sz w:val="24"/>
                <w:szCs w:val="28"/>
              </w:rPr>
            </w:pPr>
            <w:r>
              <w:rPr>
                <w:rFonts w:hint="eastAsia" w:ascii="Times New Roman" w:hAnsi="Times New Roman" w:eastAsia="方正仿宋_GBK"/>
                <w:sz w:val="24"/>
                <w:szCs w:val="28"/>
                <w:lang w:val="en-US" w:eastAsia="zh-CN"/>
              </w:rPr>
              <w:t>2.</w:t>
            </w:r>
          </w:p>
          <w:p w14:paraId="33FE0C5F">
            <w:pPr>
              <w:numPr>
                <w:ilvl w:val="0"/>
                <w:numId w:val="0"/>
              </w:numPr>
              <w:spacing w:after="0" w:line="420" w:lineRule="exact"/>
              <w:ind w:leftChars="0"/>
              <w:rPr>
                <w:rFonts w:hint="eastAsia" w:ascii="Times New Roman" w:hAnsi="Times New Roman" w:eastAsia="方正仿宋_GBK"/>
                <w:sz w:val="24"/>
                <w:szCs w:val="28"/>
              </w:rPr>
            </w:pPr>
          </w:p>
        </w:tc>
      </w:tr>
      <w:tr w14:paraId="6FD0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exact"/>
        </w:trPr>
        <w:tc>
          <w:tcPr>
            <w:tcW w:w="1818" w:type="dxa"/>
            <w:vMerge w:val="continue"/>
            <w:vAlign w:val="center"/>
          </w:tcPr>
          <w:p w14:paraId="32E99479">
            <w:pPr>
              <w:spacing w:after="0" w:line="320" w:lineRule="exact"/>
              <w:jc w:val="center"/>
              <w:rPr>
                <w:rFonts w:ascii="Times New Roman" w:hAnsi="Times New Roman" w:eastAsia="方正黑体_GBK" w:cs="方正黑体_GBK"/>
                <w:sz w:val="28"/>
              </w:rPr>
            </w:pPr>
          </w:p>
        </w:tc>
        <w:tc>
          <w:tcPr>
            <w:tcW w:w="2264" w:type="dxa"/>
            <w:gridSpan w:val="3"/>
            <w:vMerge w:val="continue"/>
            <w:tcBorders>
              <w:bottom w:val="single" w:color="auto" w:sz="4" w:space="0"/>
            </w:tcBorders>
            <w:vAlign w:val="center"/>
          </w:tcPr>
          <w:p w14:paraId="575CF88E">
            <w:pPr>
              <w:spacing w:after="0" w:line="420" w:lineRule="exact"/>
              <w:rPr>
                <w:rFonts w:ascii="方正楷体_GBK" w:hAnsi="Times New Roman" w:eastAsia="方正楷体_GBK"/>
                <w:sz w:val="24"/>
                <w:szCs w:val="28"/>
              </w:rPr>
            </w:pPr>
          </w:p>
        </w:tc>
        <w:tc>
          <w:tcPr>
            <w:tcW w:w="6266" w:type="dxa"/>
            <w:gridSpan w:val="9"/>
            <w:tcBorders>
              <w:bottom w:val="single" w:color="auto" w:sz="4" w:space="0"/>
            </w:tcBorders>
            <w:vAlign w:val="center"/>
          </w:tcPr>
          <w:p w14:paraId="434517AE">
            <w:pPr>
              <w:numPr>
                <w:ilvl w:val="0"/>
                <w:numId w:val="2"/>
              </w:numPr>
              <w:spacing w:after="0" w:line="420" w:lineRule="exact"/>
              <w:rPr>
                <w:rFonts w:hint="eastAsia" w:ascii="Times New Roman" w:hAnsi="Times New Roman" w:eastAsia="方正仿宋_GBK"/>
                <w:sz w:val="24"/>
                <w:szCs w:val="28"/>
              </w:rPr>
            </w:pPr>
          </w:p>
        </w:tc>
      </w:tr>
      <w:tr w14:paraId="184C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exact"/>
        </w:trPr>
        <w:tc>
          <w:tcPr>
            <w:tcW w:w="1818" w:type="dxa"/>
            <w:vMerge w:val="continue"/>
            <w:tcBorders>
              <w:bottom w:val="single" w:color="auto" w:sz="4" w:space="0"/>
            </w:tcBorders>
            <w:vAlign w:val="center"/>
          </w:tcPr>
          <w:p w14:paraId="1DE893CD">
            <w:pPr>
              <w:spacing w:after="0" w:line="340" w:lineRule="exact"/>
              <w:jc w:val="center"/>
              <w:rPr>
                <w:rFonts w:ascii="Times New Roman" w:hAnsi="Times New Roman" w:eastAsia="方正黑体_GBK" w:cs="方正黑体_GBK"/>
                <w:sz w:val="28"/>
              </w:rPr>
            </w:pPr>
          </w:p>
        </w:tc>
        <w:tc>
          <w:tcPr>
            <w:tcW w:w="1577" w:type="dxa"/>
            <w:tcBorders>
              <w:bottom w:val="single" w:color="auto" w:sz="4" w:space="0"/>
            </w:tcBorders>
            <w:vAlign w:val="center"/>
          </w:tcPr>
          <w:p w14:paraId="29C121E1">
            <w:pPr>
              <w:spacing w:after="0" w:line="360" w:lineRule="exact"/>
              <w:jc w:val="center"/>
              <w:rPr>
                <w:rFonts w:ascii="方正楷体_GBK" w:hAnsi="Times New Roman" w:eastAsia="方正楷体_GBK"/>
                <w:sz w:val="24"/>
                <w:szCs w:val="28"/>
              </w:rPr>
            </w:pPr>
            <w:r>
              <w:rPr>
                <w:rFonts w:hint="eastAsia" w:ascii="方正楷体_GBK" w:hAnsi="Times New Roman" w:eastAsia="方正楷体_GBK"/>
                <w:sz w:val="24"/>
                <w:szCs w:val="28"/>
              </w:rPr>
              <w:t>阅读量（浏览量、点击量）</w:t>
            </w:r>
          </w:p>
        </w:tc>
        <w:tc>
          <w:tcPr>
            <w:tcW w:w="687" w:type="dxa"/>
            <w:gridSpan w:val="2"/>
            <w:tcBorders>
              <w:bottom w:val="single" w:color="auto" w:sz="4" w:space="0"/>
            </w:tcBorders>
            <w:vAlign w:val="center"/>
          </w:tcPr>
          <w:p w14:paraId="3CFD201B">
            <w:pPr>
              <w:spacing w:after="0" w:line="360" w:lineRule="exact"/>
              <w:jc w:val="center"/>
              <w:rPr>
                <w:rFonts w:hint="default" w:ascii="Times New Roman" w:hAnsi="Times New Roman" w:eastAsia="方正仿宋_GBK"/>
                <w:sz w:val="24"/>
                <w:szCs w:val="28"/>
                <w:lang w:val="en-US" w:eastAsia="zh-CN"/>
              </w:rPr>
            </w:pPr>
            <w:r>
              <w:rPr>
                <w:rFonts w:hint="eastAsia" w:ascii="Times New Roman" w:hAnsi="Times New Roman" w:eastAsia="方正仿宋_GBK"/>
                <w:sz w:val="24"/>
                <w:szCs w:val="28"/>
                <w:lang w:val="en-US" w:eastAsia="zh-CN"/>
              </w:rPr>
              <w:t>20W+</w:t>
            </w:r>
          </w:p>
        </w:tc>
        <w:tc>
          <w:tcPr>
            <w:tcW w:w="1595" w:type="dxa"/>
            <w:gridSpan w:val="4"/>
            <w:tcBorders>
              <w:bottom w:val="single" w:color="auto" w:sz="4" w:space="0"/>
            </w:tcBorders>
            <w:vAlign w:val="center"/>
          </w:tcPr>
          <w:p w14:paraId="66DE6524">
            <w:pPr>
              <w:spacing w:after="0" w:line="360" w:lineRule="exact"/>
              <w:jc w:val="center"/>
              <w:rPr>
                <w:rFonts w:ascii="方正楷体_GBK" w:hAnsi="Times New Roman" w:eastAsia="方正楷体_GBK"/>
                <w:sz w:val="24"/>
                <w:szCs w:val="28"/>
              </w:rPr>
            </w:pPr>
            <w:r>
              <w:rPr>
                <w:rFonts w:hint="eastAsia" w:ascii="方正楷体_GBK" w:hAnsi="Times New Roman" w:eastAsia="方正楷体_GBK"/>
                <w:sz w:val="24"/>
                <w:szCs w:val="28"/>
              </w:rPr>
              <w:t>转载量</w:t>
            </w:r>
          </w:p>
        </w:tc>
        <w:tc>
          <w:tcPr>
            <w:tcW w:w="1284" w:type="dxa"/>
            <w:tcBorders>
              <w:bottom w:val="single" w:color="auto" w:sz="4" w:space="0"/>
            </w:tcBorders>
            <w:vAlign w:val="center"/>
          </w:tcPr>
          <w:p w14:paraId="27BFA900">
            <w:pPr>
              <w:spacing w:after="0" w:line="360" w:lineRule="exact"/>
              <w:jc w:val="center"/>
              <w:rPr>
                <w:rFonts w:hint="default" w:ascii="方正楷体_GBK" w:hAnsi="Times New Roman" w:eastAsia="方正楷体_GBK"/>
                <w:sz w:val="24"/>
                <w:szCs w:val="28"/>
                <w:lang w:val="en-US" w:eastAsia="zh-CN"/>
              </w:rPr>
            </w:pPr>
            <w:r>
              <w:rPr>
                <w:rFonts w:hint="eastAsia" w:ascii="方正楷体_GBK" w:hAnsi="Times New Roman" w:eastAsia="方正楷体_GBK"/>
                <w:sz w:val="24"/>
                <w:szCs w:val="28"/>
                <w:lang w:val="en-US" w:eastAsia="zh-CN"/>
              </w:rPr>
              <w:t>4W+</w:t>
            </w:r>
          </w:p>
        </w:tc>
        <w:tc>
          <w:tcPr>
            <w:tcW w:w="1285" w:type="dxa"/>
            <w:gridSpan w:val="3"/>
            <w:tcBorders>
              <w:bottom w:val="single" w:color="auto" w:sz="4" w:space="0"/>
            </w:tcBorders>
            <w:vAlign w:val="center"/>
          </w:tcPr>
          <w:p w14:paraId="149C91E3">
            <w:pPr>
              <w:spacing w:after="0" w:line="360" w:lineRule="exact"/>
              <w:jc w:val="center"/>
              <w:rPr>
                <w:rFonts w:ascii="方正楷体_GBK" w:hAnsi="Times New Roman" w:eastAsia="方正楷体_GBK"/>
                <w:sz w:val="24"/>
                <w:szCs w:val="28"/>
              </w:rPr>
            </w:pPr>
            <w:r>
              <w:rPr>
                <w:rFonts w:hint="eastAsia" w:ascii="方正楷体_GBK" w:hAnsi="Times New Roman" w:eastAsia="方正楷体_GBK"/>
                <w:sz w:val="24"/>
                <w:szCs w:val="28"/>
              </w:rPr>
              <w:t>互动量</w:t>
            </w:r>
          </w:p>
        </w:tc>
        <w:tc>
          <w:tcPr>
            <w:tcW w:w="2102" w:type="dxa"/>
            <w:tcBorders>
              <w:bottom w:val="single" w:color="auto" w:sz="4" w:space="0"/>
            </w:tcBorders>
            <w:vAlign w:val="center"/>
          </w:tcPr>
          <w:p w14:paraId="681AA666">
            <w:pPr>
              <w:spacing w:after="0" w:line="360" w:lineRule="exact"/>
              <w:jc w:val="center"/>
              <w:rPr>
                <w:rFonts w:hint="default" w:ascii="Times New Roman" w:hAnsi="Times New Roman" w:eastAsia="方正仿宋_GBK"/>
                <w:sz w:val="24"/>
                <w:szCs w:val="28"/>
                <w:lang w:val="en-US" w:eastAsia="zh-CN"/>
              </w:rPr>
            </w:pPr>
            <w:r>
              <w:rPr>
                <w:rFonts w:hint="eastAsia" w:ascii="方正楷体_GBK" w:hAnsi="Times New Roman" w:eastAsia="方正楷体_GBK"/>
                <w:sz w:val="24"/>
                <w:szCs w:val="28"/>
                <w:lang w:val="en-US" w:eastAsia="zh-CN"/>
              </w:rPr>
              <w:t>2000+</w:t>
            </w:r>
          </w:p>
        </w:tc>
      </w:tr>
      <w:tr w14:paraId="4D8A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2" w:hRule="exact"/>
        </w:trPr>
        <w:tc>
          <w:tcPr>
            <w:tcW w:w="1818" w:type="dxa"/>
            <w:tcBorders>
              <w:bottom w:val="single" w:color="auto" w:sz="4" w:space="0"/>
            </w:tcBorders>
            <w:vAlign w:val="center"/>
          </w:tcPr>
          <w:p w14:paraId="403DBA42">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推荐理由</w:t>
            </w:r>
          </w:p>
        </w:tc>
        <w:tc>
          <w:tcPr>
            <w:tcW w:w="8530" w:type="dxa"/>
            <w:gridSpan w:val="12"/>
            <w:tcBorders>
              <w:bottom w:val="single" w:color="auto" w:sz="4" w:space="0"/>
            </w:tcBorders>
            <w:vAlign w:val="center"/>
          </w:tcPr>
          <w:p w14:paraId="5337AAD0">
            <w:pPr>
              <w:spacing w:after="0" w:line="340" w:lineRule="exact"/>
              <w:ind w:firstLine="480" w:firstLineChars="200"/>
              <w:rPr>
                <w:rFonts w:hint="eastAsia" w:ascii="Times New Roman" w:hAnsi="Times New Roman" w:eastAsia="方正仿宋_GBK"/>
                <w:sz w:val="24"/>
                <w:szCs w:val="28"/>
              </w:rPr>
            </w:pPr>
            <w:r>
              <w:rPr>
                <w:rFonts w:hint="eastAsia" w:ascii="Times New Roman" w:hAnsi="Times New Roman" w:eastAsia="方正仿宋_GBK"/>
                <w:sz w:val="24"/>
                <w:szCs w:val="28"/>
              </w:rPr>
              <w:t>本作品以“一颗青花椒的创意之旅”为核心，通过访谈，了解了一款特色月饼从灵感到获奖的完整历程，是一部兼具时代洞察与人文温度的精品。其价值在于，它超越了单纯的产品报道，生动诠释了“创新”的真正内涵——并非凭空创造，而是基于对本土文化的深情理解与对品质的极致追求。</w:t>
            </w:r>
            <w:r>
              <w:rPr>
                <w:rFonts w:hint="eastAsia" w:ascii="Times New Roman" w:hAnsi="Times New Roman" w:eastAsia="方正仿宋_GBK"/>
                <w:sz w:val="24"/>
                <w:szCs w:val="28"/>
                <w:lang w:val="en-US" w:eastAsia="zh-CN"/>
              </w:rPr>
              <w:t>同时，作品</w:t>
            </w:r>
            <w:r>
              <w:rPr>
                <w:rFonts w:hint="eastAsia" w:ascii="Times New Roman" w:hAnsi="Times New Roman" w:eastAsia="方正仿宋_GBK"/>
                <w:sz w:val="24"/>
                <w:szCs w:val="28"/>
              </w:rPr>
              <w:t>它不仅为地方产业发展提供了可复制的创新范式，更向社会传递了务实、深耕的积极价值观</w:t>
            </w:r>
            <w:r>
              <w:rPr>
                <w:rFonts w:hint="eastAsia" w:ascii="Times New Roman" w:hAnsi="Times New Roman" w:eastAsia="方正仿宋_GBK"/>
                <w:sz w:val="24"/>
                <w:szCs w:val="28"/>
                <w:lang w:eastAsia="zh-CN"/>
              </w:rPr>
              <w:t>，</w:t>
            </w:r>
            <w:r>
              <w:rPr>
                <w:rFonts w:hint="eastAsia" w:ascii="Times New Roman" w:hAnsi="Times New Roman" w:eastAsia="方正仿宋_GBK"/>
                <w:sz w:val="24"/>
                <w:szCs w:val="28"/>
                <w:lang w:val="en-US" w:eastAsia="zh-CN"/>
              </w:rPr>
              <w:t>也</w:t>
            </w:r>
            <w:r>
              <w:rPr>
                <w:rFonts w:hint="eastAsia" w:ascii="Times New Roman" w:hAnsi="Times New Roman" w:eastAsia="方正仿宋_GBK"/>
                <w:sz w:val="24"/>
                <w:szCs w:val="28"/>
              </w:rPr>
              <w:t>是观察当代中国乡土品牌建设与文化创新的一个绝佳样本。</w:t>
            </w:r>
          </w:p>
          <w:p w14:paraId="190C5AA2">
            <w:pPr>
              <w:spacing w:after="0" w:line="340" w:lineRule="exact"/>
              <w:rPr>
                <w:rFonts w:ascii="Times New Roman" w:hAnsi="Times New Roman" w:eastAsia="华文中宋"/>
                <w:spacing w:val="-2"/>
                <w:sz w:val="24"/>
                <w:szCs w:val="28"/>
              </w:rPr>
            </w:pPr>
            <w:r>
              <w:rPr>
                <w:rFonts w:hint="eastAsia" w:ascii="Times New Roman" w:hAnsi="Times New Roman" w:eastAsia="方正仿宋_GBK"/>
                <w:sz w:val="24"/>
                <w:szCs w:val="28"/>
              </w:rPr>
              <w:t xml:space="preserve">  </w:t>
            </w:r>
            <w:r>
              <w:rPr>
                <w:rFonts w:hint="eastAsia" w:ascii="Times New Roman" w:hAnsi="Times New Roman" w:eastAsia="华文中宋"/>
                <w:spacing w:val="-2"/>
                <w:sz w:val="24"/>
                <w:szCs w:val="28"/>
              </w:rPr>
              <w:t xml:space="preserve">     </w:t>
            </w:r>
          </w:p>
          <w:p w14:paraId="631FF1EE">
            <w:pPr>
              <w:spacing w:after="0" w:line="260" w:lineRule="exact"/>
              <w:jc w:val="right"/>
              <w:rPr>
                <w:rFonts w:hint="eastAsia" w:ascii="Times New Roman" w:hAnsi="Times New Roman" w:eastAsia="方正仿宋_GBK"/>
                <w:sz w:val="24"/>
                <w:szCs w:val="28"/>
              </w:rPr>
            </w:pPr>
            <w:r>
              <w:rPr>
                <w:rFonts w:hint="eastAsia" w:ascii="Times New Roman" w:hAnsi="Times New Roman" w:eastAsia="华文中宋"/>
                <w:spacing w:val="-2"/>
                <w:sz w:val="24"/>
                <w:szCs w:val="28"/>
              </w:rPr>
              <w:t xml:space="preserve">                        </w:t>
            </w:r>
            <w:r>
              <w:rPr>
                <w:rFonts w:hint="eastAsia" w:ascii="Times New Roman" w:hAnsi="Times New Roman" w:eastAsia="方正仿宋_GBK"/>
                <w:sz w:val="24"/>
                <w:szCs w:val="28"/>
              </w:rPr>
              <w:t xml:space="preserve"> </w:t>
            </w:r>
          </w:p>
          <w:p w14:paraId="14B5B72B">
            <w:pPr>
              <w:spacing w:after="0" w:line="260" w:lineRule="exact"/>
              <w:jc w:val="center"/>
              <w:rPr>
                <w:rFonts w:hint="eastAsia" w:ascii="Times New Roman" w:hAnsi="Times New Roman" w:eastAsia="方正仿宋_GBK"/>
                <w:sz w:val="24"/>
                <w:szCs w:val="28"/>
              </w:rPr>
            </w:pPr>
            <w:r>
              <w:rPr>
                <w:rFonts w:hint="eastAsia" w:ascii="Times New Roman" w:hAnsi="Times New Roman" w:eastAsia="方正仿宋_GBK"/>
                <w:sz w:val="24"/>
                <w:szCs w:val="28"/>
                <w:lang w:val="en-US" w:eastAsia="zh-CN"/>
              </w:rPr>
              <w:t xml:space="preserve">                                           </w:t>
            </w:r>
            <w:bookmarkStart w:id="0" w:name="_GoBack"/>
            <w:bookmarkEnd w:id="0"/>
            <w:r>
              <w:rPr>
                <w:rFonts w:hint="eastAsia" w:ascii="Times New Roman" w:hAnsi="Times New Roman" w:eastAsia="方正仿宋_GBK"/>
                <w:sz w:val="24"/>
                <w:szCs w:val="28"/>
              </w:rPr>
              <w:t>签名：</w:t>
            </w:r>
          </w:p>
          <w:p w14:paraId="2BD1DC02">
            <w:pPr>
              <w:spacing w:after="0" w:line="260" w:lineRule="exact"/>
              <w:jc w:val="center"/>
              <w:rPr>
                <w:rFonts w:ascii="Times New Roman" w:hAnsi="Times New Roman" w:eastAsia="方正仿宋_GBK"/>
                <w:sz w:val="24"/>
                <w:szCs w:val="28"/>
              </w:rPr>
            </w:pPr>
            <w:r>
              <w:rPr>
                <w:rFonts w:hint="eastAsia" w:ascii="Times New Roman" w:hAnsi="Times New Roman" w:eastAsia="方正仿宋_GBK"/>
                <w:sz w:val="24"/>
                <w:szCs w:val="28"/>
                <w:lang w:val="en-US" w:eastAsia="zh-CN"/>
              </w:rPr>
              <w:t xml:space="preserve">                                                </w:t>
            </w:r>
            <w:r>
              <w:rPr>
                <w:rFonts w:ascii="Times New Roman" w:hAnsi="Times New Roman" w:eastAsia="方正仿宋_GBK" w:cs="Times New Roman"/>
                <w:sz w:val="24"/>
                <w:szCs w:val="28"/>
              </w:rPr>
              <w:t>202</w:t>
            </w:r>
            <w:r>
              <w:rPr>
                <w:rFonts w:hint="eastAsia" w:ascii="Times New Roman" w:hAnsi="Times New Roman" w:eastAsia="方正仿宋_GBK" w:cs="Times New Roman"/>
                <w:sz w:val="24"/>
                <w:szCs w:val="28"/>
                <w:lang w:val="en-US" w:eastAsia="zh-CN"/>
              </w:rPr>
              <w:t>6</w:t>
            </w:r>
            <w:r>
              <w:rPr>
                <w:rFonts w:ascii="Times New Roman" w:hAnsi="Times New Roman" w:eastAsia="方正仿宋_GBK" w:cs="Times New Roman"/>
                <w:sz w:val="24"/>
                <w:szCs w:val="28"/>
              </w:rPr>
              <w:t>年  月  日</w:t>
            </w:r>
          </w:p>
        </w:tc>
      </w:tr>
      <w:tr w14:paraId="4B057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exact"/>
        </w:trPr>
        <w:tc>
          <w:tcPr>
            <w:tcW w:w="1818" w:type="dxa"/>
            <w:tcBorders>
              <w:top w:val="single" w:color="auto" w:sz="6" w:space="0"/>
              <w:left w:val="single" w:color="auto" w:sz="6" w:space="0"/>
              <w:bottom w:val="single" w:color="auto" w:sz="6" w:space="0"/>
              <w:right w:val="single" w:color="auto" w:sz="6" w:space="0"/>
            </w:tcBorders>
            <w:vAlign w:val="center"/>
          </w:tcPr>
          <w:p w14:paraId="49BE5446">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联系人</w:t>
            </w:r>
          </w:p>
        </w:tc>
        <w:tc>
          <w:tcPr>
            <w:tcW w:w="1603" w:type="dxa"/>
            <w:gridSpan w:val="2"/>
            <w:tcBorders>
              <w:top w:val="single" w:color="auto" w:sz="6" w:space="0"/>
              <w:left w:val="single" w:color="auto" w:sz="6" w:space="0"/>
              <w:bottom w:val="single" w:color="auto" w:sz="6" w:space="0"/>
              <w:right w:val="single" w:color="auto" w:sz="4" w:space="0"/>
            </w:tcBorders>
            <w:vAlign w:val="center"/>
          </w:tcPr>
          <w:p w14:paraId="31740B13">
            <w:pPr>
              <w:spacing w:after="0" w:line="340" w:lineRule="exact"/>
              <w:rPr>
                <w:rFonts w:hint="eastAsia" w:ascii="Times New Roman" w:hAnsi="Times New Roman" w:eastAsia="方正黑体_GBK" w:cs="方正黑体_GBK"/>
                <w:sz w:val="28"/>
                <w:lang w:val="en-US" w:eastAsia="zh-CN"/>
              </w:rPr>
            </w:pPr>
            <w:r>
              <w:rPr>
                <w:rFonts w:hint="eastAsia" w:ascii="Times New Roman" w:hAnsi="Times New Roman" w:eastAsia="方正黑体_GBK" w:cs="方正黑体_GBK"/>
                <w:sz w:val="28"/>
                <w:lang w:val="en-US" w:eastAsia="zh-CN"/>
              </w:rPr>
              <w:t>田思进</w:t>
            </w:r>
          </w:p>
        </w:tc>
        <w:tc>
          <w:tcPr>
            <w:tcW w:w="784" w:type="dxa"/>
            <w:gridSpan w:val="2"/>
            <w:tcBorders>
              <w:top w:val="single" w:color="auto" w:sz="6" w:space="0"/>
              <w:left w:val="single" w:color="auto" w:sz="6" w:space="0"/>
              <w:bottom w:val="single" w:color="auto" w:sz="6" w:space="0"/>
              <w:right w:val="single" w:color="auto" w:sz="4" w:space="0"/>
            </w:tcBorders>
            <w:vAlign w:val="center"/>
          </w:tcPr>
          <w:p w14:paraId="7FAE3271">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电话</w:t>
            </w:r>
          </w:p>
        </w:tc>
        <w:tc>
          <w:tcPr>
            <w:tcW w:w="2847" w:type="dxa"/>
            <w:gridSpan w:val="5"/>
            <w:tcBorders>
              <w:top w:val="single" w:color="auto" w:sz="6" w:space="0"/>
              <w:left w:val="single" w:color="auto" w:sz="6" w:space="0"/>
              <w:bottom w:val="single" w:color="auto" w:sz="6" w:space="0"/>
              <w:right w:val="single" w:color="auto" w:sz="4" w:space="0"/>
            </w:tcBorders>
            <w:vAlign w:val="center"/>
          </w:tcPr>
          <w:p w14:paraId="5A92E28C">
            <w:pPr>
              <w:spacing w:after="0" w:line="340" w:lineRule="exact"/>
              <w:rPr>
                <w:rFonts w:hint="default" w:ascii="Times New Roman" w:hAnsi="Times New Roman" w:eastAsia="方正黑体_GBK" w:cs="方正黑体_GBK"/>
                <w:sz w:val="28"/>
                <w:lang w:val="en-US" w:eastAsia="zh-CN"/>
              </w:rPr>
            </w:pPr>
            <w:r>
              <w:rPr>
                <w:rFonts w:hint="eastAsia" w:ascii="Times New Roman" w:hAnsi="Times New Roman" w:eastAsia="方正黑体_GBK" w:cs="方正黑体_GBK"/>
                <w:sz w:val="28"/>
                <w:lang w:val="en-US" w:eastAsia="zh-CN"/>
              </w:rPr>
              <w:t>023-47521651</w:t>
            </w:r>
          </w:p>
        </w:tc>
        <w:tc>
          <w:tcPr>
            <w:tcW w:w="914" w:type="dxa"/>
            <w:tcBorders>
              <w:top w:val="single" w:color="auto" w:sz="6" w:space="0"/>
              <w:left w:val="single" w:color="auto" w:sz="4" w:space="0"/>
              <w:bottom w:val="single" w:color="auto" w:sz="6" w:space="0"/>
              <w:right w:val="single" w:color="auto" w:sz="4" w:space="0"/>
            </w:tcBorders>
            <w:vAlign w:val="center"/>
          </w:tcPr>
          <w:p w14:paraId="734F0D19">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手机</w:t>
            </w:r>
          </w:p>
        </w:tc>
        <w:tc>
          <w:tcPr>
            <w:tcW w:w="2382" w:type="dxa"/>
            <w:gridSpan w:val="2"/>
            <w:tcBorders>
              <w:top w:val="single" w:color="auto" w:sz="6" w:space="0"/>
              <w:left w:val="single" w:color="auto" w:sz="4" w:space="0"/>
              <w:bottom w:val="single" w:color="auto" w:sz="6" w:space="0"/>
              <w:right w:val="single" w:color="auto" w:sz="6" w:space="0"/>
            </w:tcBorders>
            <w:vAlign w:val="center"/>
          </w:tcPr>
          <w:p w14:paraId="20593924">
            <w:pPr>
              <w:spacing w:after="0" w:line="340" w:lineRule="exact"/>
              <w:rPr>
                <w:rFonts w:hint="default" w:ascii="Times New Roman" w:hAnsi="Times New Roman" w:eastAsia="方正黑体_GBK" w:cs="方正黑体_GBK"/>
                <w:sz w:val="28"/>
                <w:lang w:val="en-US" w:eastAsia="zh-CN"/>
              </w:rPr>
            </w:pPr>
            <w:r>
              <w:rPr>
                <w:rFonts w:hint="eastAsia" w:ascii="Times New Roman" w:hAnsi="Times New Roman" w:eastAsia="方正黑体_GBK" w:cs="方正黑体_GBK"/>
                <w:sz w:val="28"/>
                <w:lang w:val="en-US" w:eastAsia="zh-CN"/>
              </w:rPr>
              <w:t>13983669277</w:t>
            </w:r>
          </w:p>
        </w:tc>
      </w:tr>
      <w:tr w14:paraId="2CCD6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exact"/>
        </w:trPr>
        <w:tc>
          <w:tcPr>
            <w:tcW w:w="1818" w:type="dxa"/>
            <w:tcBorders>
              <w:top w:val="single" w:color="auto" w:sz="6" w:space="0"/>
              <w:left w:val="single" w:color="auto" w:sz="6" w:space="0"/>
              <w:bottom w:val="single" w:color="auto" w:sz="6" w:space="0"/>
              <w:right w:val="single" w:color="auto" w:sz="6" w:space="0"/>
            </w:tcBorders>
            <w:vAlign w:val="center"/>
          </w:tcPr>
          <w:p w14:paraId="472A4089">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地址</w:t>
            </w:r>
          </w:p>
        </w:tc>
        <w:tc>
          <w:tcPr>
            <w:tcW w:w="5234" w:type="dxa"/>
            <w:gridSpan w:val="9"/>
            <w:tcBorders>
              <w:top w:val="single" w:color="auto" w:sz="6" w:space="0"/>
              <w:left w:val="single" w:color="auto" w:sz="6" w:space="0"/>
              <w:bottom w:val="single" w:color="auto" w:sz="6" w:space="0"/>
              <w:right w:val="single" w:color="auto" w:sz="6" w:space="0"/>
            </w:tcBorders>
            <w:vAlign w:val="center"/>
          </w:tcPr>
          <w:p w14:paraId="21BCA40E">
            <w:pPr>
              <w:spacing w:after="0" w:line="340" w:lineRule="exact"/>
              <w:rPr>
                <w:rFonts w:hint="default" w:ascii="Times New Roman" w:hAnsi="Times New Roman" w:eastAsia="方正黑体_GBK" w:cs="方正黑体_GBK"/>
                <w:sz w:val="28"/>
                <w:lang w:val="en-US" w:eastAsia="zh-CN"/>
              </w:rPr>
            </w:pPr>
            <w:r>
              <w:rPr>
                <w:rFonts w:hint="eastAsia" w:ascii="Times New Roman" w:hAnsi="Times New Roman" w:eastAsia="方正黑体_GBK" w:cs="方正黑体_GBK"/>
                <w:sz w:val="28"/>
                <w:lang w:val="en-US" w:eastAsia="zh-CN"/>
              </w:rPr>
              <w:t>江津区几江街道鼎山大道586号</w:t>
            </w:r>
          </w:p>
        </w:tc>
        <w:tc>
          <w:tcPr>
            <w:tcW w:w="914" w:type="dxa"/>
            <w:tcBorders>
              <w:top w:val="single" w:color="auto" w:sz="6" w:space="0"/>
              <w:left w:val="single" w:color="auto" w:sz="6" w:space="0"/>
              <w:bottom w:val="single" w:color="auto" w:sz="6" w:space="0"/>
              <w:right w:val="single" w:color="auto" w:sz="6" w:space="0"/>
            </w:tcBorders>
            <w:vAlign w:val="center"/>
          </w:tcPr>
          <w:p w14:paraId="31F2A226">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邮箱</w:t>
            </w:r>
          </w:p>
        </w:tc>
        <w:tc>
          <w:tcPr>
            <w:tcW w:w="2382" w:type="dxa"/>
            <w:gridSpan w:val="2"/>
            <w:tcBorders>
              <w:top w:val="single" w:color="auto" w:sz="6" w:space="0"/>
              <w:left w:val="single" w:color="auto" w:sz="6" w:space="0"/>
              <w:bottom w:val="single" w:color="auto" w:sz="6" w:space="0"/>
              <w:right w:val="single" w:color="auto" w:sz="6" w:space="0"/>
            </w:tcBorders>
            <w:vAlign w:val="center"/>
          </w:tcPr>
          <w:p w14:paraId="14F061E0">
            <w:pPr>
              <w:spacing w:after="0" w:line="340" w:lineRule="exact"/>
              <w:rPr>
                <w:rFonts w:hint="default" w:ascii="Times New Roman" w:hAnsi="Times New Roman" w:eastAsia="方正黑体_GBK" w:cs="方正黑体_GBK"/>
                <w:sz w:val="28"/>
                <w:lang w:val="en-US" w:eastAsia="zh-CN"/>
              </w:rPr>
            </w:pPr>
            <w:r>
              <w:rPr>
                <w:rFonts w:hint="eastAsia" w:ascii="Times New Roman" w:hAnsi="Times New Roman" w:eastAsia="方正黑体_GBK" w:cs="方正黑体_GBK"/>
                <w:sz w:val="28"/>
                <w:lang w:val="en-US" w:eastAsia="zh-CN"/>
              </w:rPr>
              <w:t>7316854@qq.com</w:t>
            </w:r>
          </w:p>
        </w:tc>
      </w:tr>
    </w:tbl>
    <w:p w14:paraId="44F08BC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D8025F"/>
    <w:multiLevelType w:val="singleLevel"/>
    <w:tmpl w:val="4DD8025F"/>
    <w:lvl w:ilvl="0" w:tentative="0">
      <w:start w:val="3"/>
      <w:numFmt w:val="decimal"/>
      <w:lvlText w:val="%1."/>
      <w:lvlJc w:val="left"/>
      <w:pPr>
        <w:tabs>
          <w:tab w:val="left" w:pos="312"/>
        </w:tabs>
      </w:pPr>
    </w:lvl>
  </w:abstractNum>
  <w:abstractNum w:abstractNumId="1">
    <w:nsid w:val="5B20DF90"/>
    <w:multiLevelType w:val="singleLevel"/>
    <w:tmpl w:val="5B20DF90"/>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E129D"/>
    <w:rsid w:val="025D152D"/>
    <w:rsid w:val="35CB1A33"/>
    <w:rsid w:val="3BD95291"/>
    <w:rsid w:val="4E29397A"/>
    <w:rsid w:val="55683E19"/>
    <w:rsid w:val="5E9E129D"/>
    <w:rsid w:val="776963DA"/>
    <w:rsid w:val="77B14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rFonts w:eastAsia="仿宋_GB2312"/>
      <w:sz w:val="16"/>
      <w:szCs w:val="16"/>
    </w:rPr>
  </w:style>
  <w:style w:type="paragraph" w:styleId="3">
    <w:name w:val="Body Text"/>
    <w:basedOn w:val="1"/>
    <w:next w:val="1"/>
    <w:unhideWhenUsed/>
    <w:qFormat/>
    <w:uiPriority w:val="0"/>
    <w:pPr>
      <w:spacing w:after="120"/>
    </w:pPr>
    <w:rPr>
      <w:rFonts w:eastAsia="仿宋_GB2312" w:cs="Times New Roman"/>
      <w:sz w:val="32"/>
      <w:szCs w:val="24"/>
    </w:rPr>
  </w:style>
  <w:style w:type="character" w:styleId="6">
    <w:name w:val="FollowedHyperlink"/>
    <w:basedOn w:val="5"/>
    <w:semiHidden/>
    <w:unhideWhenUsed/>
    <w:uiPriority w:val="0"/>
    <w:rPr>
      <w:color w:val="800080"/>
      <w:u w:val="single"/>
    </w:rPr>
  </w:style>
  <w:style w:type="character" w:styleId="7">
    <w:name w:val="Hyperlink"/>
    <w:basedOn w:val="5"/>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872</Words>
  <Characters>1169</Characters>
  <Lines>0</Lines>
  <Paragraphs>0</Paragraphs>
  <TotalTime>5</TotalTime>
  <ScaleCrop>false</ScaleCrop>
  <LinksUpToDate>false</LinksUpToDate>
  <CharactersWithSpaces>1229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2026-03-13T01:46:00Z</dcterms:created>
  <dc:creator>田小瓜</dc:creator>
  <cp:lastModifiedBy>葡萄阿肖</cp:lastModifiedBy>
  <dcterms:modified xsi:type="dcterms:W3CDTF">2026-03-13T05:09:42Z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26D805832A9E4DA992AA3749B7CBC52D_11</vt:lpwstr>
  </property>
  <property fmtid="{D5CDD505-2E9C-101B-9397-08002B2CF9AE}" pid="4" name="KSOTemplateDocerSaveRecord">
    <vt:lpwstr>eyJoZGlkIjoiMzY3N2FiYzRjMjZjNmJiNGVlNjE2ZDI1ODhlNzlhYzkiLCJ1c2VySWQiOiI0NzM3NzUwMDEifQ==</vt:lpwstr>
  </property>
</Properties>
</file>